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beforeLines="0" w:after="72" w:afterLines="30" w:line="20" w:lineRule="atLeast"/>
        <w:jc w:val="left"/>
        <w:rPr>
          <w:rFonts w:ascii="Times New Roman" w:eastAsia="Times New Roman" w:hAnsi="Times New Roman" w:cs="Times New Roman"/>
          <w:b w:val="0"/>
          <w:sz w:val="21"/>
        </w:rPr>
      </w:pPr>
    </w:p>
    <w:p w:rsidR="00A77B3E">
      <w:pPr>
        <w:spacing w:before="96" w:beforeLines="40" w:after="96" w:afterLines="40" w:line="20" w:lineRule="atLeast"/>
        <w:jc w:val="center"/>
        <w:rPr>
          <w:rFonts w:ascii="Times New Roman" w:eastAsia="Times New Roman" w:hAnsi="Times New Roman" w:cs="Times New Roman"/>
          <w:b/>
          <w:sz w:val="44"/>
        </w:rPr>
      </w:pPr>
    </w:p>
    <w:p w:rsidR="00A77B3E">
      <w:pPr>
        <w:spacing w:before="240" w:beforeLines="100" w:after="144" w:afterLines="60" w:line="20" w:lineRule="atLeast"/>
        <w:jc w:val="center"/>
        <w:rPr>
          <w:rFonts w:ascii="华文中宋" w:eastAsia="华文中宋" w:hAnsi="华文中宋" w:cs="华文中宋"/>
          <w:b/>
          <w:color w:val="000000"/>
          <w:sz w:val="44"/>
        </w:rPr>
      </w:pPr>
      <w:r>
        <w:rPr>
          <w:rFonts w:ascii="华文中宋" w:eastAsia="华文中宋" w:hAnsi="华文中宋" w:cs="华文中宋"/>
          <w:b/>
          <w:color w:val="000000"/>
          <w:sz w:val="44"/>
        </w:rPr>
        <w:t>毕业设计（论文）任务书</w:t>
      </w:r>
    </w:p>
    <w:p w:rsidR="00A77B3E">
      <w:pPr>
        <w:spacing w:beforeLines="0" w:after="240" w:afterLines="100" w:line="20" w:lineRule="atLeast"/>
        <w:jc w:val="left"/>
        <w:rPr>
          <w:rFonts w:ascii="Times New Roman" w:eastAsia="Times New Roman" w:hAnsi="Times New Roman" w:cs="Times New Roman"/>
          <w:b w:val="0"/>
          <w:color w:val="000000"/>
          <w:sz w:val="32"/>
        </w:rPr>
      </w:pPr>
    </w:p>
    <w:p w:rsidR="00A77B3E">
      <w:pPr>
        <w:spacing w:beforeLines="0" w:afterLines="0" w:line="700" w:lineRule="atLeast"/>
        <w:jc w:val="left"/>
        <w:rPr>
          <w:rFonts w:ascii="宋体" w:eastAsia="宋体" w:hAnsi="宋体" w:cs="宋体"/>
          <w:b w:val="0"/>
          <w:color w:val="000000"/>
          <w:sz w:val="28"/>
          <w:u w:val="single"/>
        </w:rPr>
      </w:pPr>
      <w:r>
        <w:rPr>
          <w:rFonts w:ascii="华文中宋" w:eastAsia="华文中宋" w:hAnsi="华文中宋" w:cs="华文中宋"/>
          <w:b w:val="0"/>
          <w:color w:val="000000"/>
          <w:sz w:val="32"/>
        </w:rPr>
        <w:t xml:space="preserve">             题       目</w:t>
      </w:r>
      <w:r>
        <w:rPr>
          <w:rFonts w:ascii="宋体" w:eastAsia="宋体" w:hAnsi="宋体" w:cs="宋体"/>
          <w:b w:val="0"/>
          <w:color w:val="000000"/>
          <w:sz w:val="28"/>
          <w:u w:val="single"/>
        </w:rPr>
        <w:t xml:space="preserve">    贸易战与国际市场：全球政治动荡的影响-俄罗斯与乌克兰之间的冲突对中德贸易的影响　　　　　</w:t>
      </w:r>
    </w:p>
    <w:p w:rsidR="00A77B3E">
      <w:pPr>
        <w:spacing w:beforeLines="0" w:afterLines="0" w:line="700" w:lineRule="atLeast"/>
        <w:jc w:val="left"/>
        <w:rPr>
          <w:rFonts w:ascii="宋体" w:eastAsia="宋体" w:hAnsi="宋体" w:cs="宋体"/>
          <w:b w:val="0"/>
          <w:color w:val="000000"/>
          <w:sz w:val="28"/>
          <w:u w:val="single"/>
        </w:rPr>
      </w:pPr>
      <w:r>
        <w:rPr>
          <w:rFonts w:ascii="宋体" w:eastAsia="宋体" w:hAnsi="宋体" w:cs="宋体"/>
          <w:b w:val="0"/>
          <w:color w:val="000000"/>
          <w:sz w:val="28"/>
          <w:u w:val="none"/>
        </w:rPr>
        <w:t xml:space="preserve">                   </w:t>
      </w:r>
      <w:r>
        <w:rPr>
          <w:rFonts w:ascii="宋体" w:eastAsia="宋体" w:hAnsi="宋体" w:cs="宋体"/>
          <w:b w:val="0"/>
          <w:color w:val="000000"/>
          <w:sz w:val="28"/>
          <w:u w:val="single"/>
        </w:rPr>
        <w:t xml:space="preserve">    　                              　</w:t>
      </w: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r>
        <w:rPr>
          <w:rFonts w:ascii="华文中宋" w:eastAsia="华文中宋" w:hAnsi="华文中宋" w:cs="华文中宋"/>
          <w:b w:val="0"/>
          <w:color w:val="000000"/>
          <w:sz w:val="24"/>
          <w:u w:val="none"/>
        </w:rPr>
        <w:t>（任务起止日期：20   年  月  日～20   年  月  日）</w:t>
      </w:r>
    </w:p>
    <w:p w:rsidR="00A77B3E">
      <w:pPr>
        <w:spacing w:before="360" w:beforeLines="150" w:after="360" w:afterLines="150" w:line="320" w:lineRule="atLeast"/>
        <w:jc w:val="center"/>
        <w:rPr>
          <w:rFonts w:ascii="华文中宋" w:eastAsia="华文中宋" w:hAnsi="华文中宋" w:cs="华文中宋"/>
          <w:b w:val="0"/>
          <w:color w:val="000000"/>
          <w:sz w:val="32"/>
          <w:u w:val="none"/>
        </w:rPr>
      </w:pP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院      系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专业班级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姓      名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学      号 </w:t>
      </w:r>
      <w:r>
        <w:rPr>
          <w:rFonts w:ascii="宋体" w:eastAsia="宋体" w:hAnsi="宋体" w:cs="宋体"/>
          <w:b w:val="0"/>
          <w:color w:val="000000"/>
          <w:sz w:val="32"/>
          <w:u w:val="none"/>
        </w:rPr>
        <w:t>_______________________</w:t>
      </w:r>
    </w:p>
    <w:p w:rsidR="00A77B3E">
      <w:pPr>
        <w:spacing w:before="360" w:beforeLines="150" w:after="360" w:afterLines="150" w:line="320" w:lineRule="atLeast"/>
        <w:jc w:val="center"/>
        <w:rPr>
          <w:rFonts w:ascii="宋体" w:eastAsia="宋体" w:hAnsi="宋体" w:cs="宋体"/>
          <w:b w:val="0"/>
          <w:color w:val="000000"/>
          <w:sz w:val="32"/>
          <w:u w:val="none"/>
        </w:rPr>
      </w:pPr>
      <w:r>
        <w:rPr>
          <w:rFonts w:ascii="华文中宋" w:eastAsia="华文中宋" w:hAnsi="华文中宋" w:cs="华文中宋"/>
          <w:b w:val="0"/>
          <w:color w:val="000000"/>
          <w:sz w:val="32"/>
          <w:u w:val="none"/>
        </w:rPr>
        <w:t xml:space="preserve">指导教师 </w:t>
      </w:r>
      <w:r>
        <w:rPr>
          <w:rFonts w:ascii="宋体" w:eastAsia="宋体" w:hAnsi="宋体" w:cs="宋体"/>
          <w:b w:val="0"/>
          <w:color w:val="000000"/>
          <w:sz w:val="32"/>
          <w:u w:val="none"/>
        </w:rPr>
        <w:t>_______________________</w:t>
      </w: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p>
    <w:p w:rsidR="00A77B3E">
      <w:pPr>
        <w:spacing w:before="288" w:beforeLines="120" w:after="288" w:afterLines="120" w:line="240" w:lineRule="atLeast"/>
        <w:jc w:val="center"/>
        <w:rPr>
          <w:rFonts w:ascii="华文中宋" w:eastAsia="华文中宋" w:hAnsi="华文中宋" w:cs="华文中宋"/>
          <w:b w:val="0"/>
          <w:color w:val="000000"/>
          <w:sz w:val="24"/>
          <w:u w:val="none"/>
        </w:rPr>
      </w:pPr>
    </w:p>
    <w:p w:rsidR="00A77B3E">
      <w:pPr>
        <w:spacing w:beforeLines="0" w:afterLines="0" w:line="300" w:lineRule="auto"/>
        <w:jc w:val="center"/>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t>教研室（系、所）负责人</w:t>
      </w:r>
      <w:r>
        <w:rPr>
          <w:rFonts w:ascii="华文中宋" w:eastAsia="华文中宋" w:hAnsi="华文中宋" w:cs="华文中宋"/>
          <w:b w:val="0"/>
          <w:color w:val="000000"/>
          <w:sz w:val="30"/>
          <w:u w:val="single"/>
        </w:rPr>
        <w:t>　                       　</w:t>
      </w:r>
      <w:r>
        <w:rPr>
          <w:rFonts w:ascii="华文中宋" w:eastAsia="华文中宋" w:hAnsi="华文中宋" w:cs="华文中宋"/>
          <w:b w:val="0"/>
          <w:color w:val="000000"/>
          <w:sz w:val="30"/>
          <w:u w:val="none"/>
        </w:rPr>
        <w:t>20   年    月    日审查</w:t>
      </w:r>
    </w:p>
    <w:p w:rsidR="00A77B3E">
      <w:pPr>
        <w:spacing w:beforeLines="0" w:afterLines="0" w:line="300" w:lineRule="auto"/>
        <w:jc w:val="center"/>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t>院（系）负责人</w:t>
      </w:r>
      <w:r>
        <w:rPr>
          <w:rFonts w:ascii="华文中宋" w:eastAsia="华文中宋" w:hAnsi="华文中宋" w:cs="华文中宋"/>
          <w:b w:val="0"/>
          <w:color w:val="000000"/>
          <w:sz w:val="30"/>
          <w:u w:val="single"/>
        </w:rPr>
        <w:t>　                                   　</w:t>
      </w:r>
      <w:r>
        <w:rPr>
          <w:rFonts w:ascii="华文中宋" w:eastAsia="华文中宋" w:hAnsi="华文中宋" w:cs="华文中宋"/>
          <w:b w:val="0"/>
          <w:color w:val="000000"/>
          <w:sz w:val="30"/>
          <w:u w:val="none"/>
        </w:rPr>
        <w:t>20   年    月    日批准</w:t>
      </w:r>
    </w:p>
    <w:p w:rsidR="00A77B3E">
      <w:pPr>
        <w:spacing w:beforeLines="0" w:afterLines="0" w:line="600" w:lineRule="atLeast"/>
        <w:jc w:val="left"/>
        <w:rPr>
          <w:rFonts w:ascii="华文中宋" w:eastAsia="华文中宋" w:hAnsi="华文中宋" w:cs="华文中宋"/>
          <w:b w:val="0"/>
          <w:color w:val="000000"/>
          <w:sz w:val="30"/>
          <w:u w:val="none"/>
        </w:rPr>
      </w:pPr>
      <w:r>
        <w:rPr>
          <w:rFonts w:ascii="华文中宋" w:eastAsia="华文中宋" w:hAnsi="华文中宋" w:cs="华文中宋"/>
          <w:b w:val="0"/>
          <w:color w:val="000000"/>
          <w:sz w:val="30"/>
          <w:u w:val="none"/>
        </w:rPr>
        <w:br w:type="page"/>
      </w:r>
    </w:p>
    <w:tbl>
      <w:tblPr>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9212"/>
      </w:tblGrid>
      <w:tr>
        <w:tblPrEx>
          <w:tblW w:w="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88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题目来源：</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该论文的背景是研究俄罗斯与乌克兰之间的冲突对中德贸易的影响。当前全球正面临着持续的政治动荡，而贸易战也是其中的重要因素之一。全球政治动荡对贸易战的影响以及政治动荡对国际市场的影响已经被广泛研究，但俄乌冲突对国际市场和贸易战的影响仍然相对较少被探讨。因此，本研究旨在探究俄罗斯与乌克兰之间的冲突对中德贸易的具体影响，并进一步分析中德贸易的调整、应对以及未来发展趋势。通过对中德贸易的研究，可以深入了解全球政治动荡对国际贸易的影响机制，为相关政策制定和贸易决策提供有价值的参考。</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8"/>
                <w:u w:val="none"/>
              </w:rPr>
            </w:pPr>
          </w:p>
          <w:p w:rsidR="00A77B3E">
            <w:pPr>
              <w:jc w:val="left"/>
              <w:rPr>
                <w:rFonts w:ascii="华文中宋" w:eastAsia="华文中宋" w:hAnsi="华文中宋" w:cs="华文中宋"/>
                <w:b w:val="0"/>
                <w:color w:val="000000"/>
                <w:sz w:val="28"/>
                <w:u w:val="none"/>
              </w:rPr>
            </w:pPr>
          </w:p>
        </w:tc>
      </w:tr>
      <w:tr>
        <w:tblPrEx>
          <w:tblW w:w="0" w:type="dxa"/>
          <w:tblInd w:w="1101" w:type="dxa"/>
          <w:tblCellMar>
            <w:left w:w="108" w:type="dxa"/>
            <w:right w:w="108" w:type="dxa"/>
          </w:tblCellMar>
        </w:tblPrEx>
        <w:trPr>
          <w:trHeight w:val="467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应完成的主要内容：</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1. 分析全球政治动荡对贸易战的影响，包括贸易战的激化和对政治动荡的反应。</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 探讨全球政治动荡对国际市场带来的不确定性以及国际市场对政治动荡的反应。</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3. 研究俄乌冲突对能源市场波动、农产品市场变化以及贸易战加剧等方面的影响。</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4. 分析俄乌冲突对国际贸易战的影响，包括贸易战加剧、贸易保护主义抬头以及全球经济增长放缓等方面。</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5. 研究俄罗斯与乌克兰冲突对中德贸易的具体影响，包括受影响程度、调整与应对措施以及未来发展趋势。</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6. 提供研究结果的指导和展望，同时指出研究局限和改进方向。</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4"/>
                <w:u w:val="none"/>
              </w:rPr>
            </w:pPr>
          </w:p>
          <w:p w:rsidR="00A77B3E">
            <w:pPr>
              <w:jc w:val="left"/>
              <w:rPr>
                <w:rFonts w:ascii="华文中宋" w:eastAsia="华文中宋" w:hAnsi="华文中宋" w:cs="华文中宋"/>
                <w:b w:val="0"/>
                <w:color w:val="000000"/>
                <w:sz w:val="28"/>
                <w:u w:val="none"/>
              </w:rPr>
            </w:pPr>
          </w:p>
          <w:p w:rsidR="00A77B3E">
            <w:pPr>
              <w:jc w:val="left"/>
              <w:rPr>
                <w:rFonts w:ascii="华文中宋" w:eastAsia="华文中宋" w:hAnsi="华文中宋" w:cs="华文中宋"/>
                <w:b w:val="0"/>
                <w:color w:val="000000"/>
                <w:sz w:val="28"/>
                <w:u w:val="none"/>
              </w:rPr>
            </w:pPr>
          </w:p>
        </w:tc>
      </w:tr>
      <w:tr>
        <w:tblPrEx>
          <w:tblW w:w="0" w:type="dxa"/>
          <w:tblInd w:w="1101" w:type="dxa"/>
          <w:tblCellMar>
            <w:left w:w="108" w:type="dxa"/>
            <w:right w:w="108" w:type="dxa"/>
          </w:tblCellMar>
        </w:tblPrEx>
        <w:trPr>
          <w:trHeight w:val="3106"/>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基本要求及完成的成果形式：</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本论文主要研究了俄罗斯与乌克兰之间的冲突对中德贸易的影响。在引言部分介绍了研究的背景、目的和意义，并指出了全球政治动荡对贸易战的影响以及政治动荡对国际市场的影响。接着，论文分析了俄乌冲突对国际市场的影响，包括能源市场的波动、农产品市场的变化和贸易战的加剧。然后，论文探讨了俄乌冲突对国际贸易战的影响，包括贸易战的加剧、贸易保护主义的抬头和全球经济增长的放缓。最后，论文分析了俄罗斯与乌克兰冲突对中德贸易的影响，包括中德贸易的受影响程度、调整与应对以及未来发展趋势。最后，在结论部分对研究进行了概括总结，并展望了未来的研究方向和局限性。整体来看，该论文对俄罗斯与乌克兰冲突对中德贸易的影响进行了深入研究，为理解全球政治动荡对贸易和国际市场的影响提供了有益的参考。</w:t>
            </w:r>
          </w:p>
          <w:p w:rsidR="00A77B3E">
            <w:pPr>
              <w:jc w:val="both"/>
              <w:rPr>
                <w:rFonts w:ascii="宋体" w:eastAsia="宋体" w:hAnsi="宋体" w:cs="宋体"/>
                <w:b w:val="0"/>
                <w:color w:val="000000"/>
                <w:sz w:val="21"/>
                <w:u w:val="none"/>
              </w:rPr>
            </w:pPr>
          </w:p>
        </w:tc>
      </w:tr>
      <w:tr>
        <w:tblPrEx>
          <w:tblW w:w="0" w:type="dxa"/>
          <w:tblInd w:w="1101" w:type="dxa"/>
          <w:tblCellMar>
            <w:left w:w="108" w:type="dxa"/>
            <w:right w:w="108" w:type="dxa"/>
          </w:tblCellMar>
        </w:tblPrEx>
        <w:trPr>
          <w:trHeight w:val="1383"/>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进度安排</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20xx.12.18-20xx.12.27确定选题;</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20xx.12.27-20xx.2.28根据任务书，查阅文献资料，学习理论知识;</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20xx.3.1-20xx.3.4完成开题报告;</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20xx.3.4-20xx.4.4完成xxxxxxx，xxxx;</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20xx.4.5-20xx.4.9完成中期检查;</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20xx.4.9-20xx.4.24完成整个xxxx;</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20xx.4.25-20xx.5.3撰写论文;</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20xx.5.4-20xx.5.11完成论文，提交指导老师、评阅老师审阅;</w:t>
            </w:r>
          </w:p>
          <w:p w:rsidR="00A77B3E">
            <w:pPr>
              <w:jc w:val="both"/>
              <w:rPr>
                <w:rFonts w:ascii="宋体" w:eastAsia="宋体" w:hAnsi="宋体" w:cs="宋体"/>
                <w:b w:val="0"/>
                <w:color w:val="000000"/>
                <w:sz w:val="21"/>
                <w:u w:val="none"/>
              </w:rPr>
            </w:pPr>
            <w:r>
              <w:rPr>
                <w:rFonts w:ascii="宋体" w:eastAsia="宋体" w:hAnsi="宋体" w:cs="宋体"/>
                <w:b w:val="0"/>
                <w:color w:val="000000"/>
                <w:sz w:val="21"/>
                <w:u w:val="none"/>
              </w:rPr>
              <w:t>20xx.5.17-20xx.5.23完成论文答辩。</w:t>
            </w:r>
          </w:p>
          <w:p w:rsidR="00A77B3E">
            <w:pPr>
              <w:jc w:val="both"/>
              <w:rPr>
                <w:rFonts w:ascii="宋体" w:eastAsia="宋体" w:hAnsi="宋体" w:cs="宋体"/>
                <w:b w:val="0"/>
                <w:color w:val="000000"/>
                <w:sz w:val="30"/>
                <w:u w:val="none"/>
              </w:rPr>
            </w:pPr>
          </w:p>
          <w:p w:rsidR="00A77B3E">
            <w:pPr>
              <w:jc w:val="both"/>
              <w:rPr>
                <w:rFonts w:ascii="宋体" w:eastAsia="宋体" w:hAnsi="宋体" w:cs="宋体"/>
                <w:b w:val="0"/>
                <w:color w:val="000000"/>
                <w:sz w:val="30"/>
                <w:u w:val="none"/>
              </w:rPr>
            </w:pPr>
          </w:p>
        </w:tc>
      </w:tr>
      <w:tr>
        <w:tblPrEx>
          <w:tblW w:w="0" w:type="dxa"/>
          <w:tblInd w:w="1101" w:type="dxa"/>
          <w:tblCellMar>
            <w:left w:w="108" w:type="dxa"/>
            <w:right w:w="108" w:type="dxa"/>
          </w:tblCellMar>
        </w:tblPrEx>
        <w:trPr>
          <w:trHeight w:val="1384"/>
        </w:trPr>
        <w:tc>
          <w:tcPr>
            <w:tcW w:w="9212" w:type="dxa"/>
          </w:tcPr>
          <w:p w:rsidR="00A77B3E">
            <w:pPr>
              <w:spacing w:before="120" w:beforeLines="50" w:after="120" w:afterLines="50" w:line="280" w:lineRule="atLeast"/>
              <w:jc w:val="left"/>
              <w:rPr>
                <w:rFonts w:ascii="华文中宋" w:eastAsia="华文中宋" w:hAnsi="华文中宋" w:cs="华文中宋"/>
                <w:b w:val="0"/>
                <w:color w:val="000000"/>
                <w:sz w:val="28"/>
                <w:u w:val="none"/>
              </w:rPr>
            </w:pPr>
            <w:r>
              <w:rPr>
                <w:rFonts w:ascii="华文中宋" w:eastAsia="华文中宋" w:hAnsi="华文中宋" w:cs="华文中宋"/>
                <w:b w:val="0"/>
                <w:color w:val="000000"/>
                <w:sz w:val="28"/>
                <w:u w:val="none"/>
              </w:rPr>
              <w:t>主要参考文献：</w:t>
            </w:r>
          </w:p>
          <w:p w:rsidR="00A77B3E">
            <w:pPr>
              <w:spacing w:before="120" w:beforeLines="50" w:afterLines="0" w:line="210" w:lineRule="atLeast"/>
              <w:jc w:val="left"/>
              <w:rPr>
                <w:rFonts w:ascii="Times New Roman" w:eastAsia="Times New Roman" w:hAnsi="Times New Roman" w:cs="Times New Roman"/>
                <w:b w:val="0"/>
                <w:color w:val="000000"/>
                <w:sz w:val="21"/>
                <w:u w:val="none"/>
              </w:rPr>
            </w:pP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[1]汪宁.普京的“俄罗斯新思想”[D].华东师范大学,2014.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[2]刘玉丽.借力与平衡[D].吉林大学,2020.</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[3]张建新.霸权体系与经济增长[D].复旦大学,2014.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[4]杨天宇.西方新全球秩序观研究[D].中国政法大学,2020.</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[5]黄金宇.FTA进程中日本农业议题谈判模式研究[D].辽宁大学,2018.</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[6]丁云宝.“一带一路”视域下的新地缘经济观与上海合作组织功能再造[D].上海社会科学院,2018.</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[7]马娆.欧美对华光伏产品反倾销现状分析与对策研究[D].山东大学,2014.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[8]逄爱成.冷战后美元霸权战略研究[D].吉林大学,2012.</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[9]李少丹.战后美国东亚政策的逻辑与重心[D].复旦大学,2016.</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[10]何传添.东盟经济外交研究[D].暨南大学,2014.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[11]蓝海涛.国际农业贸易制度与中国农业政策调整[D].南京农业大学,2014.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[12]吴敬东.中国与西欧关系的地缘政治分析[D].华中师范大学,2015.</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[13]李云霞.中印现代化比较研究[D].东北师范大学,2014.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[14]张永胜.论中国对外战略中的石油问题[D].中共中央党校,2014.</w:t>
            </w:r>
          </w:p>
          <w:p w:rsidR="00A77B3E">
            <w:pPr>
              <w:spacing w:beforeLines="0" w:afterLines="0" w:line="210" w:lineRule="atLeast"/>
              <w:jc w:val="left"/>
              <w:rPr>
                <w:rFonts w:ascii="宋体" w:eastAsia="宋体" w:hAnsi="宋体" w:cs="宋体"/>
                <w:b w:val="0"/>
                <w:color w:val="000000"/>
                <w:sz w:val="21"/>
                <w:u w:val="none"/>
              </w:rPr>
            </w:pPr>
            <w:r>
              <w:rPr>
                <w:rFonts w:ascii="宋体" w:eastAsia="宋体" w:hAnsi="宋体" w:cs="宋体"/>
                <w:b w:val="0"/>
                <w:color w:val="000000"/>
                <w:sz w:val="21"/>
                <w:u w:val="none"/>
              </w:rPr>
              <w:t>[15]赵银亮.东南亚区域制度变迁与对外政策相关性研究[D].华东师范大学,2014.</w:t>
            </w: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p w:rsidR="00A77B3E">
            <w:pPr>
              <w:jc w:val="left"/>
              <w:rPr>
                <w:rFonts w:ascii="宋体" w:eastAsia="宋体" w:hAnsi="宋体" w:cs="宋体"/>
                <w:b w:val="0"/>
                <w:color w:val="000000"/>
                <w:sz w:val="21"/>
                <w:u w:val="none"/>
              </w:rPr>
            </w:pPr>
          </w:p>
        </w:tc>
      </w:tr>
      <w:tr>
        <w:tblPrEx>
          <w:tblW w:w="0" w:type="dxa"/>
          <w:tblInd w:w="1101" w:type="dxa"/>
          <w:tblCellMar>
            <w:left w:w="108" w:type="dxa"/>
            <w:right w:w="108" w:type="dxa"/>
          </w:tblCellMar>
        </w:tblPrEx>
        <w:trPr>
          <w:trHeight w:val="1384"/>
        </w:trPr>
        <w:tc>
          <w:tcPr>
            <w:tcW w:w="9212" w:type="dxa"/>
          </w:tcPr>
          <w:p w:rsidR="00A77B3E">
            <w:pPr>
              <w:spacing w:beforeLines="0" w:afterLines="0" w:line="600" w:lineRule="atLeast"/>
              <w:jc w:val="left"/>
              <w:rPr>
                <w:rFonts w:ascii="宋体" w:eastAsia="宋体" w:hAnsi="宋体" w:cs="宋体"/>
                <w:b w:val="0"/>
                <w:color w:val="000000"/>
                <w:sz w:val="36"/>
                <w:u w:val="none"/>
              </w:rPr>
            </w:pPr>
            <w:r>
              <w:rPr>
                <w:rFonts w:ascii="宋体" w:eastAsia="宋体" w:hAnsi="宋体" w:cs="宋体"/>
                <w:b w:val="0"/>
                <w:color w:val="000000"/>
                <w:sz w:val="36"/>
                <w:u w:val="none"/>
              </w:rPr>
              <w:t>其他要求</w:t>
            </w:r>
          </w:p>
          <w:p w:rsidR="00A77B3E">
            <w:pPr>
              <w:jc w:val="left"/>
              <w:rPr>
                <w:rFonts w:ascii="宋体" w:eastAsia="宋体" w:hAnsi="宋体" w:cs="宋体"/>
                <w:b w:val="0"/>
                <w:color w:val="000000"/>
                <w:sz w:val="21"/>
                <w:u w:val="none"/>
              </w:rPr>
            </w:pPr>
            <w:r>
              <w:rPr>
                <w:rFonts w:ascii="宋体" w:eastAsia="宋体" w:hAnsi="宋体" w:cs="宋体"/>
                <w:b w:val="0"/>
                <w:color w:val="000000"/>
                <w:sz w:val="36"/>
                <w:u w:val="none"/>
              </w:rPr>
              <w:t>无</w:t>
            </w:r>
          </w:p>
        </w:tc>
      </w:tr>
    </w:tbl>
    <w:p w:rsidR="00A77B3E">
      <w:pPr>
        <w:spacing w:beforeLines="0" w:afterLines="0" w:line="600" w:lineRule="atLeast"/>
        <w:jc w:val="left"/>
        <w:rPr>
          <w:rFonts w:ascii="华文中宋" w:eastAsia="华文中宋" w:hAnsi="华文中宋" w:cs="华文中宋"/>
          <w:b w:val="0"/>
          <w:color w:val="000000"/>
          <w:sz w:val="30"/>
          <w:u w:val="none"/>
        </w:rPr>
      </w:pPr>
    </w:p>
    <w:sectPr>
      <w:pgSz w:w="11906" w:h="16838"/>
      <w:pgMar w:top="567"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